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1150" w14:textId="77777777" w:rsidR="00B27377" w:rsidRDefault="004246F6">
      <w:pPr>
        <w:pBdr>
          <w:top w:val="nil"/>
          <w:left w:val="nil"/>
          <w:bottom w:val="nil"/>
          <w:right w:val="nil"/>
          <w:between w:val="nil"/>
        </w:pBdr>
        <w:spacing w:after="240"/>
        <w:rPr>
          <w:rFonts w:ascii="Calibri" w:eastAsia="Calibri" w:hAnsi="Calibri" w:cs="Calibri"/>
          <w:b/>
          <w:sz w:val="36"/>
          <w:szCs w:val="36"/>
        </w:rPr>
      </w:pPr>
      <w:bookmarkStart w:id="0" w:name="_gjdgxs" w:colFirst="0" w:colLast="0"/>
      <w:bookmarkEnd w:id="0"/>
      <w:r>
        <w:rPr>
          <w:rFonts w:ascii="Calibri" w:eastAsia="Calibri" w:hAnsi="Calibri" w:cs="Calibri"/>
          <w:b/>
          <w:color w:val="000000"/>
          <w:sz w:val="36"/>
          <w:szCs w:val="36"/>
        </w:rPr>
        <w:t xml:space="preserve">Service Schedule for ARDC </w:t>
      </w:r>
      <w:r>
        <w:rPr>
          <w:rFonts w:ascii="Calibri" w:eastAsia="Calibri" w:hAnsi="Calibri" w:cs="Calibri"/>
          <w:b/>
          <w:sz w:val="36"/>
          <w:szCs w:val="36"/>
        </w:rPr>
        <w:t>RAiD Service</w:t>
      </w:r>
    </w:p>
    <w:p w14:paraId="2249E5F2" w14:textId="1E0F997E" w:rsidR="00B27377" w:rsidRDefault="004246F6">
      <w:bookmarkStart w:id="1" w:name="_dquwvug5edy4" w:colFirst="0" w:colLast="0"/>
      <w:bookmarkStart w:id="2" w:name="_vq7rnml4l536" w:colFirst="0" w:colLast="0"/>
      <w:bookmarkEnd w:id="1"/>
      <w:bookmarkEnd w:id="2"/>
      <w:r>
        <w:t xml:space="preserve">To be read in conjunction with </w:t>
      </w:r>
      <w:hyperlink r:id="rId7">
        <w:r>
          <w:rPr>
            <w:color w:val="1155CC"/>
            <w:u w:val="single"/>
          </w:rPr>
          <w:t>RAiD Service Policy Statement</w:t>
        </w:r>
      </w:hyperlink>
    </w:p>
    <w:p w14:paraId="080739B4" w14:textId="77777777" w:rsidR="00B27377" w:rsidRDefault="004246F6">
      <w:pPr>
        <w:keepNext/>
        <w:keepLines/>
        <w:numPr>
          <w:ilvl w:val="0"/>
          <w:numId w:val="1"/>
        </w:numPr>
        <w:pBdr>
          <w:top w:val="nil"/>
          <w:left w:val="nil"/>
          <w:bottom w:val="nil"/>
          <w:right w:val="nil"/>
          <w:between w:val="nil"/>
        </w:pBdr>
      </w:pPr>
      <w:r>
        <w:rPr>
          <w:b/>
          <w:color w:val="000000"/>
          <w:sz w:val="24"/>
          <w:szCs w:val="24"/>
        </w:rPr>
        <w:t>Background</w:t>
      </w:r>
    </w:p>
    <w:p w14:paraId="183D5821" w14:textId="77777777" w:rsidR="00B27377" w:rsidRDefault="004246F6">
      <w:r>
        <w:t xml:space="preserve">RAiD is a persistent identifier for projects provided by the Australian Research Data Commons (ARDC). A research project is an activity.  It takes place over a period of time, has a set scope, is resourced by researchers and research support staff and uses and produces research data. A RAiD has two parts: The RAiD handle and the RAiD metadata envelope. </w:t>
      </w:r>
    </w:p>
    <w:p w14:paraId="046AA423" w14:textId="77777777" w:rsidR="00B27377" w:rsidRDefault="004246F6">
      <w:r>
        <w:t>RAiD is built on the Handle system, a non-commercial decentralised identifier resolution system, established in 1995. Operated by CNRI, the Handle system is used by many other higher level systems (e.g. DOI) and by many existing content management systems e.g. institutional repositories. A RAiD handle is minted via the RAiD API using the ARDC’s Handle Service. It is persistent and globally unique.</w:t>
      </w:r>
    </w:p>
    <w:p w14:paraId="0A278465" w14:textId="77777777" w:rsidR="00B27377" w:rsidRDefault="004246F6">
      <w:r>
        <w:t xml:space="preserve">The RAiD metadata envelope records activities associated with the project to which the RAiD Handle has been assigned. It does this by time/date stamping other identifiers into the metadata envelope. For example, the ORCIDs for researchers associated with the project, the DOIs for the funding grants, the RORs for the research insitutitions. Tools and services are also applicable. </w:t>
      </w:r>
    </w:p>
    <w:p w14:paraId="290EDA94" w14:textId="77777777" w:rsidR="00B27377" w:rsidRDefault="004246F6">
      <w:r>
        <w:t xml:space="preserve">RAiD is one of a suite of </w:t>
      </w:r>
      <w:hyperlink r:id="rId8">
        <w:r>
          <w:rPr>
            <w:color w:val="1155CC"/>
            <w:u w:val="single"/>
          </w:rPr>
          <w:t xml:space="preserve">Identifier Services </w:t>
        </w:r>
      </w:hyperlink>
      <w:r>
        <w:t xml:space="preserve">offered by ARDC. The RAiD service is international in scope and application. </w:t>
      </w:r>
    </w:p>
    <w:p w14:paraId="39E428F9" w14:textId="77777777" w:rsidR="00B27377" w:rsidRDefault="004246F6">
      <w:r>
        <w:t xml:space="preserve">Users of the RAiD service such as research groups or institutions are required to sign the Service Schedule Agreement below in order to access the service. </w:t>
      </w:r>
    </w:p>
    <w:p w14:paraId="01049DB2" w14:textId="77777777" w:rsidR="00B27377" w:rsidRDefault="004246F6">
      <w:pPr>
        <w:keepNext/>
        <w:keepLines/>
        <w:numPr>
          <w:ilvl w:val="0"/>
          <w:numId w:val="1"/>
        </w:numPr>
        <w:pBdr>
          <w:top w:val="nil"/>
          <w:left w:val="nil"/>
          <w:bottom w:val="nil"/>
          <w:right w:val="nil"/>
          <w:between w:val="nil"/>
        </w:pBdr>
      </w:pPr>
      <w:r>
        <w:rPr>
          <w:b/>
          <w:color w:val="000000"/>
          <w:sz w:val="24"/>
          <w:szCs w:val="24"/>
        </w:rPr>
        <w:t>User</w:t>
      </w:r>
    </w:p>
    <w:p w14:paraId="292262D9" w14:textId="77777777" w:rsidR="00B27377" w:rsidRDefault="004246F6">
      <w:r>
        <w:t>Contact Name: ________________________________________</w:t>
      </w:r>
      <w:r>
        <w:br/>
      </w:r>
    </w:p>
    <w:p w14:paraId="2736E69E" w14:textId="77777777" w:rsidR="00B27377" w:rsidRDefault="004246F6">
      <w:r>
        <w:t>Name: _______________________________________________ ACN/ABN ________________________</w:t>
      </w:r>
      <w:r>
        <w:br/>
      </w:r>
    </w:p>
    <w:p w14:paraId="0039FAD4" w14:textId="77777777" w:rsidR="00B27377" w:rsidRDefault="004246F6">
      <w:r>
        <w:t>Address: ______________________________________________________________________________</w:t>
      </w:r>
      <w:r>
        <w:br/>
      </w:r>
    </w:p>
    <w:p w14:paraId="4B58546B" w14:textId="77777777" w:rsidR="00B27377" w:rsidRDefault="004246F6">
      <w:r>
        <w:t>Email: __________________________________________ Phone: _______________________________</w:t>
      </w:r>
    </w:p>
    <w:p w14:paraId="16AB7450" w14:textId="77777777" w:rsidR="00B27377" w:rsidRDefault="00B27377">
      <w:pPr>
        <w:pBdr>
          <w:top w:val="nil"/>
          <w:left w:val="nil"/>
          <w:bottom w:val="nil"/>
          <w:right w:val="nil"/>
          <w:between w:val="nil"/>
        </w:pBdr>
        <w:ind w:left="1361"/>
        <w:rPr>
          <w:color w:val="000000"/>
        </w:rPr>
      </w:pPr>
    </w:p>
    <w:p w14:paraId="4A99ECAA" w14:textId="77777777" w:rsidR="00B27377" w:rsidRDefault="004246F6">
      <w:pPr>
        <w:keepNext/>
        <w:keepLines/>
        <w:numPr>
          <w:ilvl w:val="0"/>
          <w:numId w:val="1"/>
        </w:numPr>
        <w:pBdr>
          <w:top w:val="nil"/>
          <w:left w:val="nil"/>
          <w:bottom w:val="nil"/>
          <w:right w:val="nil"/>
          <w:between w:val="nil"/>
        </w:pBdr>
      </w:pPr>
      <w:r>
        <w:rPr>
          <w:b/>
          <w:color w:val="000000"/>
          <w:sz w:val="24"/>
          <w:szCs w:val="24"/>
        </w:rPr>
        <w:t>Term</w:t>
      </w:r>
    </w:p>
    <w:p w14:paraId="0E191A2A" w14:textId="77777777" w:rsidR="00B27377" w:rsidRDefault="004246F6">
      <w:r>
        <w:t>This agreement will become effective at the date of signature and will continue until 30 June 2023. After 30 June 2023, this agreement will be automatically extended on an annual basis unless terminated.</w:t>
      </w:r>
    </w:p>
    <w:p w14:paraId="740D8004" w14:textId="77777777" w:rsidR="00B27377" w:rsidRDefault="004246F6">
      <w:r>
        <w:t>Either party may terminate this agreement by providing the other party with 3 months’ notice, in writing.  Termination will be effective after the expiration of the 3-month notice period.</w:t>
      </w:r>
    </w:p>
    <w:p w14:paraId="44F51396" w14:textId="77777777" w:rsidR="00B27377" w:rsidRDefault="004246F6">
      <w:r>
        <w:t>Without prejudice to ARDC’s other rights, ARDC may terminate this agreement immediately on notice to the User if the User breaches any term of the agreement.</w:t>
      </w:r>
    </w:p>
    <w:p w14:paraId="08FD3E55" w14:textId="77777777" w:rsidR="00B27377" w:rsidRDefault="00B27377"/>
    <w:p w14:paraId="764CF860" w14:textId="77777777" w:rsidR="00B27377" w:rsidRDefault="004246F6">
      <w:pPr>
        <w:keepNext/>
        <w:keepLines/>
        <w:numPr>
          <w:ilvl w:val="0"/>
          <w:numId w:val="1"/>
        </w:numPr>
        <w:pBdr>
          <w:top w:val="nil"/>
          <w:left w:val="nil"/>
          <w:bottom w:val="nil"/>
          <w:right w:val="nil"/>
          <w:between w:val="nil"/>
        </w:pBdr>
      </w:pPr>
      <w:r>
        <w:rPr>
          <w:b/>
          <w:color w:val="000000"/>
          <w:sz w:val="24"/>
          <w:szCs w:val="24"/>
        </w:rPr>
        <w:lastRenderedPageBreak/>
        <w:t>Additional terms</w:t>
      </w:r>
    </w:p>
    <w:p w14:paraId="01E16F3E" w14:textId="77777777" w:rsidR="00B27377" w:rsidRDefault="004246F6">
      <w:pPr>
        <w:keepNext/>
        <w:keepLines/>
        <w:numPr>
          <w:ilvl w:val="1"/>
          <w:numId w:val="1"/>
        </w:numPr>
        <w:pBdr>
          <w:top w:val="nil"/>
          <w:left w:val="nil"/>
          <w:bottom w:val="nil"/>
          <w:right w:val="nil"/>
          <w:between w:val="nil"/>
        </w:pBdr>
      </w:pPr>
      <w:r>
        <w:rPr>
          <w:b/>
          <w:color w:val="000000"/>
        </w:rPr>
        <w:t>ARDC Responsibilities</w:t>
      </w:r>
    </w:p>
    <w:p w14:paraId="40755472" w14:textId="77777777" w:rsidR="00B27377" w:rsidRDefault="004246F6">
      <w:r>
        <w:t>ARDC acts as a service provider for RAiD.</w:t>
      </w:r>
    </w:p>
    <w:p w14:paraId="703578B9" w14:textId="77777777" w:rsidR="00B27377" w:rsidRDefault="004246F6">
      <w:r>
        <w:t xml:space="preserve">ARDC will: </w:t>
      </w:r>
    </w:p>
    <w:p w14:paraId="4E6543D9" w14:textId="77777777" w:rsidR="00B27377" w:rsidRDefault="004246F6">
      <w:pPr>
        <w:numPr>
          <w:ilvl w:val="0"/>
          <w:numId w:val="3"/>
        </w:numPr>
        <w:pBdr>
          <w:top w:val="nil"/>
          <w:left w:val="nil"/>
          <w:bottom w:val="nil"/>
          <w:right w:val="nil"/>
          <w:between w:val="nil"/>
        </w:pBdr>
      </w:pPr>
      <w:r>
        <w:t>provide the User with access to the RAiD service</w:t>
      </w:r>
    </w:p>
    <w:p w14:paraId="1DE8B260" w14:textId="77777777" w:rsidR="00B27377" w:rsidRDefault="004246F6">
      <w:pPr>
        <w:numPr>
          <w:ilvl w:val="0"/>
          <w:numId w:val="3"/>
        </w:numPr>
        <w:pBdr>
          <w:top w:val="nil"/>
          <w:left w:val="nil"/>
          <w:bottom w:val="nil"/>
          <w:right w:val="nil"/>
          <w:between w:val="nil"/>
        </w:pBdr>
      </w:pPr>
      <w:r>
        <w:t>provide engagement and outreach support to the User</w:t>
      </w:r>
    </w:p>
    <w:p w14:paraId="030FDEDA" w14:textId="77777777" w:rsidR="00B27377" w:rsidRDefault="004246F6">
      <w:pPr>
        <w:keepNext/>
        <w:keepLines/>
        <w:numPr>
          <w:ilvl w:val="1"/>
          <w:numId w:val="1"/>
        </w:numPr>
        <w:pBdr>
          <w:top w:val="nil"/>
          <w:left w:val="nil"/>
          <w:bottom w:val="nil"/>
          <w:right w:val="nil"/>
          <w:between w:val="nil"/>
        </w:pBdr>
      </w:pPr>
      <w:bookmarkStart w:id="3" w:name="_30j0zll" w:colFirst="0" w:colLast="0"/>
      <w:bookmarkEnd w:id="3"/>
      <w:r>
        <w:rPr>
          <w:b/>
          <w:color w:val="000000"/>
        </w:rPr>
        <w:t>User Responsibilities</w:t>
      </w:r>
    </w:p>
    <w:p w14:paraId="12E4F9BC" w14:textId="77777777" w:rsidR="00B27377" w:rsidRDefault="004246F6">
      <w:r>
        <w:t>The User acknowledges and agrees that:</w:t>
      </w:r>
    </w:p>
    <w:p w14:paraId="754D5F0A" w14:textId="77777777" w:rsidR="00B27377" w:rsidRDefault="004246F6">
      <w:pPr>
        <w:numPr>
          <w:ilvl w:val="0"/>
          <w:numId w:val="2"/>
        </w:numPr>
        <w:pBdr>
          <w:top w:val="nil"/>
          <w:left w:val="nil"/>
          <w:bottom w:val="nil"/>
          <w:right w:val="nil"/>
          <w:between w:val="nil"/>
        </w:pBdr>
        <w:ind w:left="709"/>
      </w:pPr>
      <w:r>
        <w:t>ARDC’s RAiD service is underpinned and reliant on the Handle System</w:t>
      </w:r>
      <w:r>
        <w:rPr>
          <w:vertAlign w:val="superscript"/>
        </w:rPr>
        <w:footnoteReference w:id="1"/>
      </w:r>
      <w:r>
        <w:t xml:space="preserve"> provided by CNRI</w:t>
      </w:r>
      <w:r>
        <w:rPr>
          <w:vertAlign w:val="superscript"/>
        </w:rPr>
        <w:footnoteReference w:id="2"/>
      </w:r>
      <w:r>
        <w:t>. ARDC cannot warrant the longevity or reliability of the Handle System and ARDC will not have any liability to the User in respect of any failure or withdrawal of the above.</w:t>
      </w:r>
    </w:p>
    <w:p w14:paraId="3443E6E3" w14:textId="77777777" w:rsidR="00B27377" w:rsidRDefault="004246F6">
      <w:pPr>
        <w:numPr>
          <w:ilvl w:val="0"/>
          <w:numId w:val="2"/>
        </w:numPr>
        <w:pBdr>
          <w:top w:val="nil"/>
          <w:left w:val="nil"/>
          <w:bottom w:val="nil"/>
          <w:right w:val="nil"/>
          <w:between w:val="nil"/>
        </w:pBdr>
        <w:ind w:left="709"/>
      </w:pPr>
      <w:r>
        <w:rPr>
          <w:color w:val="000000"/>
        </w:rPr>
        <w:t xml:space="preserve">it </w:t>
      </w:r>
      <w:r>
        <w:t>is</w:t>
      </w:r>
      <w:r>
        <w:rPr>
          <w:color w:val="000000"/>
        </w:rPr>
        <w:t xml:space="preserve"> part of the Australian or international higher education sector, publicly–funded data collection or cultural collections sector;</w:t>
      </w:r>
    </w:p>
    <w:p w14:paraId="2BFD6DCE" w14:textId="77777777" w:rsidR="00B27377" w:rsidRDefault="004246F6">
      <w:pPr>
        <w:numPr>
          <w:ilvl w:val="0"/>
          <w:numId w:val="2"/>
        </w:numPr>
        <w:pBdr>
          <w:top w:val="nil"/>
          <w:left w:val="nil"/>
          <w:bottom w:val="nil"/>
          <w:right w:val="nil"/>
          <w:between w:val="nil"/>
        </w:pBdr>
        <w:ind w:left="709"/>
      </w:pPr>
      <w:r>
        <w:t>it will use RAiD within the scope identified in the RAiD Service Policy.</w:t>
      </w:r>
    </w:p>
    <w:p w14:paraId="346A3B6C" w14:textId="77777777" w:rsidR="00B27377" w:rsidRDefault="00B27377">
      <w:pPr>
        <w:pBdr>
          <w:top w:val="nil"/>
          <w:left w:val="nil"/>
          <w:bottom w:val="nil"/>
          <w:right w:val="nil"/>
          <w:between w:val="nil"/>
        </w:pBdr>
        <w:rPr>
          <w:color w:val="000000"/>
        </w:rPr>
      </w:pPr>
    </w:p>
    <w:p w14:paraId="6A7671ED" w14:textId="77777777" w:rsidR="00B27377" w:rsidRDefault="00B27377"/>
    <w:p w14:paraId="5CFD8D2D" w14:textId="77777777" w:rsidR="00B27377" w:rsidRDefault="004246F6">
      <w:pPr>
        <w:keepNext/>
        <w:keepLines/>
        <w:pBdr>
          <w:top w:val="nil"/>
          <w:left w:val="nil"/>
          <w:bottom w:val="nil"/>
          <w:right w:val="nil"/>
          <w:between w:val="nil"/>
        </w:pBdr>
        <w:rPr>
          <w:rFonts w:ascii="Calibri" w:eastAsia="Calibri" w:hAnsi="Calibri" w:cs="Calibri"/>
          <w:b/>
          <w:color w:val="000000"/>
          <w:sz w:val="28"/>
          <w:szCs w:val="28"/>
        </w:rPr>
      </w:pPr>
      <w:bookmarkStart w:id="4" w:name="_3znysh7" w:colFirst="0" w:colLast="0"/>
      <w:bookmarkEnd w:id="4"/>
      <w:r>
        <w:rPr>
          <w:rFonts w:ascii="Calibri" w:eastAsia="Calibri" w:hAnsi="Calibri" w:cs="Calibri"/>
          <w:b/>
          <w:color w:val="000000"/>
          <w:sz w:val="28"/>
          <w:szCs w:val="28"/>
        </w:rPr>
        <w:lastRenderedPageBreak/>
        <w:t>Execution</w:t>
      </w:r>
    </w:p>
    <w:p w14:paraId="061DEFC3" w14:textId="77777777" w:rsidR="00B27377" w:rsidRDefault="004246F6">
      <w:pPr>
        <w:keepNext/>
      </w:pPr>
      <w:r>
        <w:t xml:space="preserve">Signed as an agreement on the terms of this Service Schedule and ARDC’s Standard Terms of Service, available at </w:t>
      </w:r>
      <w:hyperlink r:id="rId9">
        <w:r>
          <w:rPr>
            <w:color w:val="1155CC"/>
            <w:u w:val="single"/>
          </w:rPr>
          <w:t>https://ardc.edu.au/wp-content/uploads/2020/10/ARDC_Service_agreement.pdf</w:t>
        </w:r>
      </w:hyperlink>
      <w:r>
        <w:t>.</w:t>
      </w:r>
    </w:p>
    <w:tbl>
      <w:tblPr>
        <w:tblStyle w:val="a"/>
        <w:tblW w:w="8580" w:type="dxa"/>
        <w:tblLayout w:type="fixed"/>
        <w:tblLook w:val="0000" w:firstRow="0" w:lastRow="0" w:firstColumn="0" w:lastColumn="0" w:noHBand="0" w:noVBand="0"/>
      </w:tblPr>
      <w:tblGrid>
        <w:gridCol w:w="4219"/>
        <w:gridCol w:w="284"/>
        <w:gridCol w:w="4077"/>
      </w:tblGrid>
      <w:tr w:rsidR="00B27377" w14:paraId="11943F1B" w14:textId="77777777">
        <w:tc>
          <w:tcPr>
            <w:tcW w:w="4219" w:type="dxa"/>
          </w:tcPr>
          <w:p w14:paraId="4583BB58" w14:textId="77777777" w:rsidR="00B27377" w:rsidRDefault="004246F6">
            <w:pPr>
              <w:keepNext/>
              <w:rPr>
                <w:sz w:val="22"/>
                <w:szCs w:val="22"/>
              </w:rPr>
            </w:pPr>
            <w:r>
              <w:t>Signed by</w:t>
            </w:r>
            <w:r>
              <w:rPr>
                <w:sz w:val="22"/>
                <w:szCs w:val="22"/>
              </w:rPr>
              <w:t xml:space="preserve"> </w:t>
            </w:r>
            <w:r>
              <w:rPr>
                <w:b/>
              </w:rPr>
              <w:t>Australian Research Data Commons Limited</w:t>
            </w:r>
            <w:r>
              <w:rPr>
                <w:sz w:val="22"/>
                <w:szCs w:val="22"/>
              </w:rPr>
              <w:t>:</w:t>
            </w:r>
          </w:p>
          <w:p w14:paraId="69B6FEF3" w14:textId="77777777" w:rsidR="00B27377" w:rsidRDefault="00B27377">
            <w:pPr>
              <w:keepNext/>
            </w:pPr>
          </w:p>
          <w:p w14:paraId="2C5FA445" w14:textId="77777777" w:rsidR="00B27377" w:rsidRDefault="004246F6">
            <w:pPr>
              <w:keepNext/>
            </w:pPr>
            <w:r>
              <w:t>. . . . . . . . . . . . . . . . . . . . . . . . . . . . . . . .</w:t>
            </w:r>
            <w:r>
              <w:br/>
              <w:t>Signature of authorised person</w:t>
            </w:r>
          </w:p>
          <w:p w14:paraId="6C2DA56F" w14:textId="77777777" w:rsidR="00B27377" w:rsidRDefault="00B27377">
            <w:pPr>
              <w:keepNext/>
            </w:pPr>
          </w:p>
          <w:p w14:paraId="2E308045" w14:textId="77777777" w:rsidR="00B27377" w:rsidRDefault="004246F6">
            <w:pPr>
              <w:keepNext/>
            </w:pPr>
            <w:r>
              <w:t>. . . . . . . . . . . . . . . . . . . . . . . . . . . . . . . .</w:t>
            </w:r>
            <w:r>
              <w:br/>
              <w:t>Office held</w:t>
            </w:r>
          </w:p>
          <w:p w14:paraId="15B5B51B" w14:textId="77777777" w:rsidR="00B27377" w:rsidRDefault="00B27377">
            <w:pPr>
              <w:keepNext/>
            </w:pPr>
          </w:p>
          <w:p w14:paraId="76F17EB5" w14:textId="77777777" w:rsidR="00B27377" w:rsidRDefault="004246F6">
            <w:pPr>
              <w:keepNext/>
            </w:pPr>
            <w:r>
              <w:t>. . . . . . . . . . . . . . . . . . . . . . . . . . . . . . . .</w:t>
            </w:r>
            <w:r>
              <w:br/>
              <w:t>Name (print)</w:t>
            </w:r>
          </w:p>
          <w:p w14:paraId="2996E4E9" w14:textId="77777777" w:rsidR="00B27377" w:rsidRDefault="00B27377">
            <w:pPr>
              <w:keepNext/>
            </w:pPr>
          </w:p>
          <w:p w14:paraId="1CD87B90" w14:textId="77777777" w:rsidR="00B27377" w:rsidRDefault="004246F6">
            <w:pPr>
              <w:keepNext/>
            </w:pPr>
            <w:r>
              <w:t>. . . . . . . . . . . . . . . . . . . . . . . . . . . . . . . .</w:t>
            </w:r>
            <w:r>
              <w:br/>
              <w:t>Date</w:t>
            </w:r>
          </w:p>
        </w:tc>
        <w:tc>
          <w:tcPr>
            <w:tcW w:w="284" w:type="dxa"/>
          </w:tcPr>
          <w:p w14:paraId="380910A4" w14:textId="77777777" w:rsidR="00B27377" w:rsidRDefault="00B27377">
            <w:pPr>
              <w:keepNext/>
            </w:pPr>
          </w:p>
        </w:tc>
        <w:tc>
          <w:tcPr>
            <w:tcW w:w="4077" w:type="dxa"/>
          </w:tcPr>
          <w:p w14:paraId="4ED02870" w14:textId="77777777" w:rsidR="00B27377" w:rsidRDefault="004246F6">
            <w:pPr>
              <w:keepNext/>
            </w:pPr>
            <w:r>
              <w:t>Signed by</w:t>
            </w:r>
            <w:r>
              <w:rPr>
                <w:b/>
              </w:rPr>
              <w:t xml:space="preserve"> User</w:t>
            </w:r>
            <w:r>
              <w:rPr>
                <w:b/>
              </w:rPr>
              <w:br/>
            </w:r>
          </w:p>
          <w:p w14:paraId="22AC27C2" w14:textId="77777777" w:rsidR="00B27377" w:rsidRDefault="00B27377">
            <w:pPr>
              <w:keepNext/>
            </w:pPr>
          </w:p>
          <w:p w14:paraId="417DF380" w14:textId="77777777" w:rsidR="00B27377" w:rsidRDefault="004246F6">
            <w:pPr>
              <w:keepNext/>
            </w:pPr>
            <w:r>
              <w:t>. . . . . . . . . . . . . . . . . . . . . . . . . . . . . . . .</w:t>
            </w:r>
            <w:r>
              <w:br/>
              <w:t>Signature of authorised person</w:t>
            </w:r>
          </w:p>
          <w:p w14:paraId="17F34DEB" w14:textId="77777777" w:rsidR="00B27377" w:rsidRDefault="00B27377">
            <w:pPr>
              <w:keepNext/>
            </w:pPr>
          </w:p>
          <w:p w14:paraId="6C00F0BB" w14:textId="77777777" w:rsidR="00B27377" w:rsidRDefault="004246F6">
            <w:pPr>
              <w:keepNext/>
            </w:pPr>
            <w:r>
              <w:t>. . . . . . . . . . . . . . . . . . . . . . . . . . . . . . . .</w:t>
            </w:r>
            <w:r>
              <w:br/>
              <w:t>Office held</w:t>
            </w:r>
          </w:p>
          <w:p w14:paraId="7B203742" w14:textId="77777777" w:rsidR="00B27377" w:rsidRDefault="00B27377">
            <w:pPr>
              <w:keepNext/>
            </w:pPr>
          </w:p>
          <w:p w14:paraId="1DF4CC99" w14:textId="77777777" w:rsidR="00B27377" w:rsidRDefault="004246F6">
            <w:pPr>
              <w:keepNext/>
            </w:pPr>
            <w:r>
              <w:t>. . . . . . . . . . . . . . . . . . . . . . . . . . . . . . . .</w:t>
            </w:r>
            <w:r>
              <w:br/>
              <w:t>Name (print)</w:t>
            </w:r>
          </w:p>
          <w:p w14:paraId="5359D988" w14:textId="77777777" w:rsidR="00B27377" w:rsidRDefault="00B27377">
            <w:pPr>
              <w:keepNext/>
            </w:pPr>
          </w:p>
          <w:p w14:paraId="38FB08FA" w14:textId="77777777" w:rsidR="00B27377" w:rsidRDefault="004246F6">
            <w:pPr>
              <w:keepNext/>
            </w:pPr>
            <w:r>
              <w:t>. . . . . . . . . . . . . . . . . . . . . . . . . . . . . . . .</w:t>
            </w:r>
            <w:r>
              <w:br/>
              <w:t>Date</w:t>
            </w:r>
          </w:p>
        </w:tc>
      </w:tr>
    </w:tbl>
    <w:p w14:paraId="7F45B1F1" w14:textId="77777777" w:rsidR="00B27377" w:rsidRDefault="00B27377"/>
    <w:sectPr w:rsidR="00B27377">
      <w:headerReference w:type="even" r:id="rId10"/>
      <w:headerReference w:type="default" r:id="rId11"/>
      <w:footerReference w:type="even" r:id="rId12"/>
      <w:footerReference w:type="default" r:id="rId13"/>
      <w:headerReference w:type="first" r:id="rId14"/>
      <w:footerReference w:type="first" r:id="rId15"/>
      <w:pgSz w:w="11906" w:h="16838"/>
      <w:pgMar w:top="1032" w:right="1134" w:bottom="1134" w:left="1134" w:header="380" w:footer="2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12EF" w14:textId="77777777" w:rsidR="00CA0127" w:rsidRDefault="00CA0127">
      <w:pPr>
        <w:spacing w:after="0"/>
      </w:pPr>
      <w:r>
        <w:separator/>
      </w:r>
    </w:p>
  </w:endnote>
  <w:endnote w:type="continuationSeparator" w:id="0">
    <w:p w14:paraId="21DB115F" w14:textId="77777777" w:rsidR="00CA0127" w:rsidRDefault="00CA0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518" w14:textId="77777777" w:rsidR="00B27377" w:rsidRDefault="00B27377">
    <w:pPr>
      <w:pBdr>
        <w:top w:val="nil"/>
        <w:left w:val="nil"/>
        <w:bottom w:val="nil"/>
        <w:right w:val="nil"/>
        <w:between w:val="nil"/>
      </w:pBdr>
      <w:spacing w:after="0"/>
      <w:ind w:left="284" w:hanging="284"/>
      <w:rPr>
        <w:smallCaps/>
        <w:color w:val="A2A9A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BD87" w14:textId="77777777" w:rsidR="00B27377" w:rsidRDefault="00B27377">
    <w:pPr>
      <w:widowControl w:val="0"/>
      <w:pBdr>
        <w:top w:val="nil"/>
        <w:left w:val="nil"/>
        <w:bottom w:val="nil"/>
        <w:right w:val="nil"/>
        <w:between w:val="nil"/>
      </w:pBdr>
      <w:spacing w:after="0" w:line="276" w:lineRule="auto"/>
      <w:rPr>
        <w:smallCaps/>
        <w:color w:val="A2A9AD"/>
        <w:sz w:val="16"/>
        <w:szCs w:val="16"/>
      </w:rPr>
    </w:pPr>
  </w:p>
  <w:tbl>
    <w:tblPr>
      <w:tblStyle w:val="a0"/>
      <w:tblW w:w="9621" w:type="dxa"/>
      <w:tblBorders>
        <w:top w:val="nil"/>
        <w:left w:val="nil"/>
        <w:bottom w:val="nil"/>
        <w:right w:val="nil"/>
        <w:insideH w:val="nil"/>
        <w:insideV w:val="nil"/>
      </w:tblBorders>
      <w:tblLayout w:type="fixed"/>
      <w:tblLook w:val="0400" w:firstRow="0" w:lastRow="0" w:firstColumn="0" w:lastColumn="0" w:noHBand="0" w:noVBand="1"/>
    </w:tblPr>
    <w:tblGrid>
      <w:gridCol w:w="8997"/>
      <w:gridCol w:w="624"/>
    </w:tblGrid>
    <w:tr w:rsidR="00B27377" w14:paraId="37A5B77B" w14:textId="77777777">
      <w:trPr>
        <w:trHeight w:val="330"/>
      </w:trPr>
      <w:tc>
        <w:tcPr>
          <w:tcW w:w="8997" w:type="dxa"/>
          <w:vAlign w:val="bottom"/>
        </w:tcPr>
        <w:p w14:paraId="77C5C49F" w14:textId="77777777" w:rsidR="00B27377" w:rsidRDefault="004246F6">
          <w:pPr>
            <w:pBdr>
              <w:top w:val="nil"/>
              <w:left w:val="nil"/>
              <w:bottom w:val="nil"/>
              <w:right w:val="nil"/>
              <w:between w:val="nil"/>
            </w:pBdr>
            <w:spacing w:after="0" w:line="180" w:lineRule="auto"/>
            <w:rPr>
              <w:smallCaps/>
              <w:color w:val="A2A9AD"/>
              <w:sz w:val="16"/>
              <w:szCs w:val="16"/>
            </w:rPr>
          </w:pPr>
          <w:r>
            <w:rPr>
              <w:smallCaps/>
              <w:color w:val="A2A9AD"/>
              <w:sz w:val="16"/>
              <w:szCs w:val="16"/>
            </w:rPr>
            <w:t>3451-1658-1137, v. 1 | 17 September 2020</w:t>
          </w:r>
        </w:p>
      </w:tc>
      <w:tc>
        <w:tcPr>
          <w:tcW w:w="624" w:type="dxa"/>
          <w:vAlign w:val="bottom"/>
        </w:tcPr>
        <w:p w14:paraId="79150D22" w14:textId="7EE25751" w:rsidR="00B27377" w:rsidRDefault="004246F6">
          <w:pPr>
            <w:pBdr>
              <w:top w:val="nil"/>
              <w:left w:val="nil"/>
              <w:bottom w:val="nil"/>
              <w:right w:val="nil"/>
              <w:between w:val="nil"/>
            </w:pBdr>
            <w:spacing w:after="0"/>
            <w:ind w:left="284" w:hanging="284"/>
            <w:rPr>
              <w:smallCaps/>
              <w:color w:val="A2A9AD"/>
              <w:sz w:val="16"/>
              <w:szCs w:val="16"/>
            </w:rPr>
          </w:pPr>
          <w:r>
            <w:rPr>
              <w:smallCaps/>
              <w:color w:val="A2A9AD"/>
              <w:sz w:val="16"/>
              <w:szCs w:val="16"/>
            </w:rPr>
            <w:t xml:space="preserve">Page </w:t>
          </w:r>
          <w:r>
            <w:rPr>
              <w:smallCaps/>
              <w:color w:val="A2A9AD"/>
              <w:sz w:val="16"/>
              <w:szCs w:val="16"/>
            </w:rPr>
            <w:fldChar w:fldCharType="begin"/>
          </w:r>
          <w:r>
            <w:rPr>
              <w:smallCaps/>
              <w:color w:val="A2A9AD"/>
              <w:sz w:val="16"/>
              <w:szCs w:val="16"/>
            </w:rPr>
            <w:instrText>PAGE</w:instrText>
          </w:r>
          <w:r>
            <w:rPr>
              <w:smallCaps/>
              <w:color w:val="A2A9AD"/>
              <w:sz w:val="16"/>
              <w:szCs w:val="16"/>
            </w:rPr>
            <w:fldChar w:fldCharType="separate"/>
          </w:r>
          <w:r w:rsidR="00357975">
            <w:rPr>
              <w:smallCaps/>
              <w:noProof/>
              <w:color w:val="A2A9AD"/>
              <w:sz w:val="16"/>
              <w:szCs w:val="16"/>
            </w:rPr>
            <w:t>2</w:t>
          </w:r>
          <w:r>
            <w:rPr>
              <w:smallCaps/>
              <w:color w:val="A2A9AD"/>
              <w:sz w:val="16"/>
              <w:szCs w:val="16"/>
            </w:rPr>
            <w:fldChar w:fldCharType="end"/>
          </w:r>
        </w:p>
      </w:tc>
    </w:tr>
  </w:tbl>
  <w:p w14:paraId="6B7CB356" w14:textId="77777777" w:rsidR="00B27377" w:rsidRDefault="00B27377">
    <w:pPr>
      <w:pBdr>
        <w:top w:val="nil"/>
        <w:left w:val="nil"/>
        <w:bottom w:val="nil"/>
        <w:right w:val="nil"/>
        <w:between w:val="nil"/>
      </w:pBdr>
      <w:spacing w:after="0"/>
      <w:rPr>
        <w:smallCaps/>
        <w:color w:val="A2A9AD"/>
        <w:sz w:val="16"/>
        <w:szCs w:val="16"/>
      </w:rPr>
    </w:pPr>
  </w:p>
  <w:p w14:paraId="29F8D94A" w14:textId="77777777" w:rsidR="00B27377" w:rsidRDefault="00B273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67AC" w14:textId="77777777" w:rsidR="00B27377" w:rsidRDefault="00B27377">
    <w:pPr>
      <w:pBdr>
        <w:top w:val="nil"/>
        <w:left w:val="nil"/>
        <w:bottom w:val="nil"/>
        <w:right w:val="nil"/>
        <w:between w:val="nil"/>
      </w:pBdr>
      <w:spacing w:after="0"/>
      <w:ind w:left="284" w:hanging="284"/>
      <w:rPr>
        <w:smallCaps/>
        <w:color w:val="A2A9A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A69D" w14:textId="77777777" w:rsidR="00CA0127" w:rsidRDefault="00CA0127">
      <w:pPr>
        <w:spacing w:after="0"/>
      </w:pPr>
      <w:r>
        <w:separator/>
      </w:r>
    </w:p>
  </w:footnote>
  <w:footnote w:type="continuationSeparator" w:id="0">
    <w:p w14:paraId="685D8DBF" w14:textId="77777777" w:rsidR="00CA0127" w:rsidRDefault="00CA0127">
      <w:pPr>
        <w:spacing w:after="0"/>
      </w:pPr>
      <w:r>
        <w:continuationSeparator/>
      </w:r>
    </w:p>
  </w:footnote>
  <w:footnote w:id="1">
    <w:p w14:paraId="143F1D45" w14:textId="77777777" w:rsidR="00B27377" w:rsidRDefault="004246F6">
      <w:pPr>
        <w:spacing w:after="0"/>
        <w:rPr>
          <w:color w:val="333333"/>
          <w:sz w:val="18"/>
          <w:szCs w:val="18"/>
        </w:rPr>
      </w:pPr>
      <w:r>
        <w:rPr>
          <w:vertAlign w:val="superscript"/>
        </w:rPr>
        <w:footnoteRef/>
      </w:r>
      <w:r>
        <w:rPr>
          <w:color w:val="333333"/>
          <w:sz w:val="18"/>
          <w:szCs w:val="18"/>
        </w:rPr>
        <w:t xml:space="preserve"> More information on the Handle System is available from </w:t>
      </w:r>
      <w:hyperlink r:id="rId1">
        <w:r>
          <w:rPr>
            <w:color w:val="1155CC"/>
            <w:sz w:val="18"/>
            <w:szCs w:val="18"/>
            <w:u w:val="single"/>
          </w:rPr>
          <w:t>https://www.handle.net/</w:t>
        </w:r>
      </w:hyperlink>
      <w:r>
        <w:rPr>
          <w:color w:val="333333"/>
          <w:sz w:val="18"/>
          <w:szCs w:val="18"/>
        </w:rPr>
        <w:t xml:space="preserve"> </w:t>
      </w:r>
    </w:p>
  </w:footnote>
  <w:footnote w:id="2">
    <w:p w14:paraId="54528DEC" w14:textId="77777777" w:rsidR="00B27377" w:rsidRDefault="004246F6">
      <w:pPr>
        <w:spacing w:after="0"/>
        <w:rPr>
          <w:color w:val="333333"/>
          <w:sz w:val="18"/>
          <w:szCs w:val="18"/>
        </w:rPr>
      </w:pPr>
      <w:r>
        <w:rPr>
          <w:vertAlign w:val="superscript"/>
        </w:rPr>
        <w:footnoteRef/>
      </w:r>
      <w:r>
        <w:rPr>
          <w:color w:val="333333"/>
          <w:sz w:val="18"/>
          <w:szCs w:val="18"/>
        </w:rPr>
        <w:t xml:space="preserve"> More information on CNRI is available from </w:t>
      </w:r>
      <w:hyperlink r:id="rId2">
        <w:r>
          <w:rPr>
            <w:color w:val="1155CC"/>
            <w:sz w:val="18"/>
            <w:szCs w:val="18"/>
            <w:u w:val="single"/>
          </w:rPr>
          <w:t>http://www.cnri.reston.va.us/</w:t>
        </w:r>
      </w:hyperlink>
      <w:r>
        <w:rPr>
          <w:color w:val="333333"/>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69B" w14:textId="77777777" w:rsidR="00B27377" w:rsidRDefault="00B27377">
    <w:pPr>
      <w:pBdr>
        <w:top w:val="nil"/>
        <w:left w:val="nil"/>
        <w:bottom w:val="nil"/>
        <w:right w:val="nil"/>
        <w:between w:val="nil"/>
      </w:pBdr>
      <w:spacing w:after="0"/>
      <w:ind w:left="284" w:hanging="284"/>
      <w:rPr>
        <w:b/>
        <w:smallCaps/>
        <w:color w:val="7F7F7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2B0" w14:textId="77777777" w:rsidR="00B27377" w:rsidRDefault="00B27377">
    <w:pPr>
      <w:pBdr>
        <w:top w:val="nil"/>
        <w:left w:val="nil"/>
        <w:bottom w:val="nil"/>
        <w:right w:val="nil"/>
        <w:between w:val="nil"/>
      </w:pBdr>
      <w:spacing w:after="0"/>
      <w:ind w:left="284" w:hanging="284"/>
      <w:rPr>
        <w:b/>
        <w:smallCaps/>
        <w:color w:val="7F7F7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12A" w14:textId="77777777" w:rsidR="00B27377" w:rsidRDefault="00B27377">
    <w:pPr>
      <w:pBdr>
        <w:top w:val="nil"/>
        <w:left w:val="nil"/>
        <w:bottom w:val="nil"/>
        <w:right w:val="nil"/>
        <w:between w:val="nil"/>
      </w:pBdr>
      <w:spacing w:after="0"/>
      <w:rPr>
        <w:b/>
        <w:smallCaps/>
        <w:color w:val="7F7F7F"/>
        <w:sz w:val="16"/>
        <w:szCs w:val="16"/>
      </w:rPr>
    </w:pPr>
  </w:p>
  <w:p w14:paraId="1C71F52D" w14:textId="77777777" w:rsidR="00B27377" w:rsidRDefault="00B27377">
    <w:pPr>
      <w:pBdr>
        <w:top w:val="nil"/>
        <w:left w:val="nil"/>
        <w:bottom w:val="nil"/>
        <w:right w:val="nil"/>
        <w:between w:val="nil"/>
      </w:pBdr>
      <w:spacing w:after="0"/>
      <w:rPr>
        <w:b/>
        <w:smallCaps/>
        <w:color w:val="7F7F7F"/>
        <w:sz w:val="16"/>
        <w:szCs w:val="16"/>
      </w:rPr>
    </w:pPr>
  </w:p>
  <w:p w14:paraId="5AD78CAC" w14:textId="77777777" w:rsidR="00B27377" w:rsidRDefault="004246F6">
    <w:pPr>
      <w:pBdr>
        <w:top w:val="nil"/>
        <w:left w:val="nil"/>
        <w:bottom w:val="nil"/>
        <w:right w:val="nil"/>
        <w:between w:val="nil"/>
      </w:pBdr>
      <w:spacing w:after="0"/>
      <w:jc w:val="right"/>
      <w:rPr>
        <w:b/>
        <w:smallCaps/>
        <w:color w:val="7F7F7F"/>
        <w:sz w:val="16"/>
        <w:szCs w:val="16"/>
      </w:rPr>
    </w:pPr>
    <w:r>
      <w:rPr>
        <w:b/>
        <w:smallCaps/>
        <w:noProof/>
        <w:color w:val="7F7F7F"/>
        <w:sz w:val="16"/>
        <w:szCs w:val="16"/>
      </w:rPr>
      <w:drawing>
        <wp:inline distT="0" distB="0" distL="0" distR="0" wp14:anchorId="42BEA437" wp14:editId="26AEA00F">
          <wp:extent cx="1832522" cy="5957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2522" cy="595731"/>
                  </a:xfrm>
                  <a:prstGeom prst="rect">
                    <a:avLst/>
                  </a:prstGeom>
                  <a:ln/>
                </pic:spPr>
              </pic:pic>
            </a:graphicData>
          </a:graphic>
        </wp:inline>
      </w:drawing>
    </w:r>
  </w:p>
  <w:p w14:paraId="1A3C8DB6" w14:textId="77777777" w:rsidR="00B27377" w:rsidRDefault="00B27377">
    <w:pPr>
      <w:pBdr>
        <w:top w:val="nil"/>
        <w:left w:val="nil"/>
        <w:bottom w:val="nil"/>
        <w:right w:val="nil"/>
        <w:between w:val="nil"/>
      </w:pBdr>
      <w:spacing w:after="0"/>
      <w:rPr>
        <w:b/>
        <w:smallCaps/>
        <w:color w:val="7F7F7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23"/>
    <w:multiLevelType w:val="multilevel"/>
    <w:tmpl w:val="B0BEF448"/>
    <w:lvl w:ilvl="0">
      <w:start w:val="1"/>
      <w:numFmt w:val="lowerLetter"/>
      <w:lvlText w:val="(%1)"/>
      <w:lvlJc w:val="left"/>
      <w:pPr>
        <w:ind w:left="425" w:hanging="425"/>
      </w:pPr>
      <w:rPr>
        <w:rFonts w:ascii="Arial" w:eastAsia="Arial" w:hAnsi="Arial" w:cs="Arial"/>
        <w:b w:val="0"/>
        <w:i w:val="0"/>
        <w:color w:val="333333"/>
      </w:rPr>
    </w:lvl>
    <w:lvl w:ilvl="1">
      <w:start w:val="1"/>
      <w:numFmt w:val="lowerRoman"/>
      <w:lvlText w:val="(%2)"/>
      <w:lvlJc w:val="left"/>
      <w:pPr>
        <w:ind w:left="2041" w:hanging="68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right"/>
      <w:pPr>
        <w:ind w:left="6480" w:hanging="180"/>
      </w:pPr>
    </w:lvl>
  </w:abstractNum>
  <w:abstractNum w:abstractNumId="1" w15:restartNumberingAfterBreak="0">
    <w:nsid w:val="2C160FD2"/>
    <w:multiLevelType w:val="multilevel"/>
    <w:tmpl w:val="2EE68118"/>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2C36DA"/>
    <w:multiLevelType w:val="multilevel"/>
    <w:tmpl w:val="35208A60"/>
    <w:lvl w:ilvl="0">
      <w:start w:val="1"/>
      <w:numFmt w:val="lowerLetter"/>
      <w:lvlText w:val="(%1)"/>
      <w:lvlJc w:val="left"/>
      <w:pPr>
        <w:ind w:left="1361" w:hanging="681"/>
      </w:pPr>
      <w:rPr>
        <w:rFonts w:ascii="Arial" w:eastAsia="Arial" w:hAnsi="Arial" w:cs="Arial"/>
        <w:b w:val="0"/>
        <w:i w:val="0"/>
        <w:color w:val="333333"/>
      </w:rPr>
    </w:lvl>
    <w:lvl w:ilvl="1">
      <w:start w:val="1"/>
      <w:numFmt w:val="lowerRoman"/>
      <w:lvlText w:val="(%2)"/>
      <w:lvlJc w:val="left"/>
      <w:pPr>
        <w:ind w:left="2041" w:hanging="68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77"/>
    <w:rsid w:val="001D6B41"/>
    <w:rsid w:val="00357975"/>
    <w:rsid w:val="004246F6"/>
    <w:rsid w:val="00B27377"/>
    <w:rsid w:val="00CA0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443642"/>
  <w15:docId w15:val="{D96FF06E-01A6-3745-B1C3-6B21F02D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GB"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color w:val="000000"/>
      <w:sz w:val="28"/>
      <w:szCs w:val="28"/>
    </w:rPr>
  </w:style>
  <w:style w:type="paragraph" w:styleId="Heading2">
    <w:name w:val="heading 2"/>
    <w:basedOn w:val="Normal"/>
    <w:next w:val="Normal"/>
    <w:uiPriority w:val="9"/>
    <w:semiHidden/>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outlineLvl w:val="2"/>
    </w:pPr>
    <w:rPr>
      <w:b/>
      <w:color w:val="A2A9AD"/>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40" w:after="0"/>
      <w:outlineLvl w:val="5"/>
    </w:pPr>
    <w:rPr>
      <w:color w:val="074C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333333"/>
    </w:rPr>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dc.edu.au/services/identifi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umentation.ardc.edu.au/display/DOC/RAiD+Service+Poli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dc.edu.au/wp-content/uploads/2020/10/ARDC_Service_agreement.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nri.reston.va.us/" TargetMode="External"/><Relationship Id="rId1" Type="http://schemas.openxmlformats.org/officeDocument/2006/relationships/hyperlink" Target="https://www.handle.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Maricel Pilapil</cp:lastModifiedBy>
  <cp:revision>3</cp:revision>
  <dcterms:created xsi:type="dcterms:W3CDTF">2021-11-16T23:14:00Z</dcterms:created>
  <dcterms:modified xsi:type="dcterms:W3CDTF">2021-11-16T23:40:00Z</dcterms:modified>
</cp:coreProperties>
</file>